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Los aneurismas, un grave problema vascular que podría prevenirse gracias a la tecnología </w:t>
      </w:r>
    </w:p>
    <w:p w:rsidR="00000000" w:rsidDel="00000000" w:rsidP="00000000" w:rsidRDefault="00000000" w:rsidRPr="00000000" w14:paraId="00000001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accidentes cerebrovasculares son una de las amenazas de mayor peligro para la vida humana. No sólo son males silenciosos, porque en muchas ocasiones no presentan ningún tipo de síntoma y sus estragos comienzan a sentirse cuando podría ser muy tarde para revertirlos.</w:t>
      </w:r>
    </w:p>
    <w:p w:rsidR="00000000" w:rsidDel="00000000" w:rsidP="00000000" w:rsidRDefault="00000000" w:rsidRPr="00000000" w14:paraId="0000000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Uno de estos claros ejemplos es el aneurisma, que está definido como un ensanchamiento con forma de pequeño globo en una vena o arteria consecuencia del </w:t>
      </w:r>
      <w:r w:rsidDel="00000000" w:rsidR="00000000" w:rsidRPr="00000000">
        <w:rPr>
          <w:highlight w:val="white"/>
          <w:rtl w:val="0"/>
        </w:rPr>
        <w:t xml:space="preserve">debilitamiento y adelgazamiento progresivo en una porción del vaso sanguíneo afectado que, cuando llega a reventar, puede tener consecuencias fatales o secuelas terribles en caso de sobrevivir. 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Según el último reporte de la Organización Mundial de la Salud (OMS), este tipo de afectaciones representan la segunda causa de mortalidad a nivel mundial y en México </w:t>
      </w:r>
      <w:r w:rsidDel="00000000" w:rsidR="00000000" w:rsidRPr="00000000">
        <w:rPr>
          <w:highlight w:val="white"/>
          <w:rtl w:val="0"/>
        </w:rPr>
        <w:t xml:space="preserve">donde cada</w:t>
      </w:r>
      <w:r w:rsidDel="00000000" w:rsidR="00000000" w:rsidRPr="00000000">
        <w:rPr>
          <w:highlight w:val="white"/>
          <w:rtl w:val="0"/>
        </w:rPr>
        <w:t xml:space="preserve"> año mueren hasta 653 mil persona, el 24% fallece debido a padecimientos vasculares, que ocupan el primer lugar de decesos en el país.  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Otro dato importante extraído de la Fundación para la Cobertura del Aneurisma Cerebral (FUCAC) en Argentina y que puede ayudarnos a dimensionar este grave problema de salud, es que e</w:t>
      </w:r>
      <w:r w:rsidDel="00000000" w:rsidR="00000000" w:rsidRPr="00000000">
        <w:rPr>
          <w:highlight w:val="white"/>
          <w:rtl w:val="0"/>
        </w:rPr>
        <w:t xml:space="preserve">n el mundo se producen casi 500 mil fallecimientos anuales causados por aneurismas cerebrales, donde la mitad de las víctimas no llega siquiera a los 50 años de edad.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Una manera efectiva, pero muy riesgosa, para tratarlo es la cirugía. Algunos médicos, a partir de su experiencia, podrán evaluar, aunque sin total certeza, la gravedad de un aneurisma y ante la amenaza latente de hemorragia el tiempo apremia y el peligro aumenta.</w:t>
      </w:r>
    </w:p>
    <w:p w:rsidR="00000000" w:rsidDel="00000000" w:rsidP="00000000" w:rsidRDefault="00000000" w:rsidRPr="00000000" w14:paraId="0000000B">
      <w:pPr>
        <w:jc w:val="both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Frente a este problema de afectación global, ya se está trabajando en el desarrollo de herramientas que ayuden a brindar mayor información para la prevención de esta clase de padecimientos. Uno de estos ejemplos es el software Cradle, encargado de realizar simulaciones a través de la Dinámica de Fluidos Computacional.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color w:val="212121"/>
          <w:highlight w:val="white"/>
          <w:rtl w:val="0"/>
        </w:rPr>
        <w:t xml:space="preserve">“Así, en un simple inicio de sesión podrás cargar los datos del aneurisma en una herramienta de análisis, mirar dentro de la arteria y recibir resultados computacionales sobre datos como tensión de corte y distribuciones de presión en dicha lesión”, explicó </w:t>
      </w:r>
      <w:r w:rsidDel="00000000" w:rsidR="00000000" w:rsidRPr="00000000">
        <w:rPr>
          <w:highlight w:val="white"/>
          <w:rtl w:val="0"/>
        </w:rPr>
        <w:t xml:space="preserve">Ottmar Kappes, Director General de Altair México.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color w:val="212121"/>
          <w:highlight w:val="white"/>
          <w:rtl w:val="0"/>
        </w:rPr>
        <w:t xml:space="preserve">¿Cómo lo hace? Por medio de la ejecución de simulaciones numéricas con datos como presión arterial de los pacientes o información recopilada de diversos estudios de imagen, tales como la resonancia magnética o tomografía computarizada, que se combina con la Dinámica de Fluidos por Computadora, utilizando el programa para simular o calcular el comportamiento del fluido, que en este caso, será la sangre que se acumula en la arteria debilitada, de manera que se puedan realizar pruebas sin necesidad de experimentar o hacer prototipos de forma tradicional.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Con dicha tecnología todavía en refinamiento, y con investigaciones previas, Cradle permite a los usuarios evaluar con mayor precisión qué es lo que está ocurriendo dentro de un aneurisma, con la esperanza de continuar avanzando y en un momento dado ser utilizado para predecir una ruptura.</w:t>
      </w:r>
    </w:p>
    <w:p w:rsidR="00000000" w:rsidDel="00000000" w:rsidP="00000000" w:rsidRDefault="00000000" w:rsidRPr="00000000" w14:paraId="00000013">
      <w:pPr>
        <w:jc w:val="both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212121"/>
          <w:highlight w:val="white"/>
        </w:rPr>
      </w:pPr>
      <w:r w:rsidDel="00000000" w:rsidR="00000000" w:rsidRPr="00000000">
        <w:rPr>
          <w:color w:val="212121"/>
          <w:highlight w:val="white"/>
          <w:rtl w:val="0"/>
        </w:rPr>
        <w:t xml:space="preserve">De esta forma, los avances en torno a esta tecnología aplicada a la salud continúan en buena marcha y en un futuro cercano muchas muertes en México y el mundo podrán evitarse por medio de la simulación computarizada en dinámica de fluidos, previniendo accidentes vasculares con tan solo un par de clics. </w:t>
      </w:r>
    </w:p>
    <w:p w:rsidR="00000000" w:rsidDel="00000000" w:rsidP="00000000" w:rsidRDefault="00000000" w:rsidRPr="00000000" w14:paraId="00000015">
      <w:pPr>
        <w:jc w:val="both"/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br w:type="textWrapping"/>
        <w:t xml:space="preserve">Acerca de Altair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Altair (Nasdaq: ALTR) transforma el diseño y la toma de decisiones aplicando la simulación, el aprendizaje automático y la optimización a lo largo de los ciclos de vida del producto. Nuestra amplia cartera de tecnología de simulación y el modelo patentado de licencia de software, basado en unidades, permiten la innovación impulsada por simulación para nuestros clientes. Con más de 2 mil empleados, Altair tiene su sede en Troy, Michigan, EE. UU. y opera en 69 oficinas en 24 países. Altair atiende a más de 5 mil clientes en amplios segmentos de la industria. Altair cuenta con oficinas en Ciudad de México desde 2008, y en todo el país atiende clientes de diversas industrias, siendo las principales: automotriz, manufactura, consumo, tecnología, aeroespacial, educación y telecomunicaciones, entre otras. Para obtener más información, visite www.altair.com.</w:t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Víctor Valencia</w:t>
      </w:r>
      <w:r w:rsidDel="00000000" w:rsidR="00000000" w:rsidRPr="00000000">
        <w:rPr>
          <w:rtl w:val="0"/>
        </w:rPr>
        <w:br w:type="textWrapping"/>
        <w:t xml:space="preserve">Tel: +52-55-1696-8433</w:t>
      </w:r>
    </w:p>
    <w:p w:rsidR="00000000" w:rsidDel="00000000" w:rsidP="00000000" w:rsidRDefault="00000000" w:rsidRPr="00000000" w14:paraId="0000001D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victor.valencia@another.co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color w:val="2121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2000250</wp:posOffset>
          </wp:positionH>
          <wp:positionV relativeFrom="paragraph">
            <wp:posOffset>66676</wp:posOffset>
          </wp:positionV>
          <wp:extent cx="1952625" cy="5429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629" l="0" r="25542" t="0"/>
                  <a:stretch>
                    <a:fillRect/>
                  </a:stretch>
                </pic:blipFill>
                <pic:spPr>
                  <a:xfrm>
                    <a:off x="0" y="0"/>
                    <a:ext cx="1952625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tor.valencia@another.co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